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Bdr>
          <w:top w:space="0" w:sz="0" w:val="nil"/>
          <w:left w:space="0" w:sz="0" w:val="nil"/>
          <w:bottom w:space="0" w:sz="0" w:val="nil"/>
          <w:right w:space="0" w:sz="0" w:val="nil"/>
          <w:between w:space="0" w:sz="0" w:val="nil"/>
        </w:pBdr>
        <w:shd w:fill="auto" w:val="clear"/>
        <w:spacing w:line="240" w:lineRule="auto"/>
        <w:rPr>
          <w:rFonts w:ascii="Proxima Nova" w:cs="Proxima Nova" w:eastAsia="Proxima Nova" w:hAnsi="Proxima Nova"/>
          <w:b w:val="1"/>
          <w:color w:val="404040"/>
          <w:sz w:val="60"/>
          <w:szCs w:val="60"/>
        </w:rPr>
      </w:pPr>
      <w:bookmarkStart w:colFirst="0" w:colLast="0" w:name="_kk1966kbedef" w:id="0"/>
      <w:bookmarkEnd w:id="0"/>
      <w:r w:rsidDel="00000000" w:rsidR="00000000" w:rsidRPr="00000000">
        <w:rPr>
          <w:rFonts w:ascii="Proxima Nova" w:cs="Proxima Nova" w:eastAsia="Proxima Nova" w:hAnsi="Proxima Nova"/>
          <w:b w:val="0"/>
          <w:color w:val="039be5"/>
          <w:sz w:val="48"/>
          <w:szCs w:val="48"/>
          <w:rtl w:val="0"/>
        </w:rPr>
        <w:t xml:space="preserve">Lesson Plan</w:t>
      </w:r>
      <w:r w:rsidDel="00000000" w:rsidR="00000000" w:rsidRPr="00000000">
        <w:rPr>
          <w:b w:val="0"/>
          <w:sz w:val="48"/>
          <w:szCs w:val="48"/>
          <w:rtl w:val="0"/>
        </w:rPr>
        <w:br w:type="textWrapping"/>
        <w:t xml:space="preserve">5. </w:t>
      </w:r>
      <w:r w:rsidDel="00000000" w:rsidR="00000000" w:rsidRPr="00000000">
        <w:rPr>
          <w:rtl w:val="0"/>
        </w:rPr>
        <w:t xml:space="preserve">“Hate Speech”, Inclusivity, and Kindness </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rFonts w:ascii="Proxima Nova" w:cs="Proxima Nova" w:eastAsia="Proxima Nova" w:hAnsi="Proxima Nova"/>
          <w:color w:val="666666"/>
          <w:sz w:val="20"/>
          <w:szCs w:val="20"/>
        </w:rPr>
      </w:pPr>
      <w:r w:rsidDel="00000000" w:rsidR="00000000" w:rsidRPr="00000000">
        <w:rPr>
          <w:rFonts w:ascii="Proxima Nova" w:cs="Proxima Nova" w:eastAsia="Proxima Nova" w:hAnsi="Proxima Nova"/>
          <w:color w:val="666666"/>
          <w:sz w:val="20"/>
          <w:szCs w:val="20"/>
        </w:rPr>
        <w:drawing>
          <wp:inline distB="114300" distT="114300" distL="114300" distR="114300">
            <wp:extent cx="447675" cy="57150"/>
            <wp:effectExtent b="0" l="0" r="0" t="0"/>
            <wp:docPr descr="short line" id="6" name="image4.png"/>
            <a:graphic>
              <a:graphicData uri="http://schemas.openxmlformats.org/drawingml/2006/picture">
                <pic:pic>
                  <pic:nvPicPr>
                    <pic:cNvPr descr="short line" id="0" name="image4.png"/>
                    <pic:cNvPicPr preferRelativeResize="0"/>
                  </pic:nvPicPr>
                  <pic:blipFill>
                    <a:blip r:embed="rId7"/>
                    <a:srcRect b="0" l="0" r="0" t="0"/>
                    <a:stretch>
                      <a:fillRect/>
                    </a:stretch>
                  </pic:blipFill>
                  <pic:spPr>
                    <a:xfrm>
                      <a:off x="0" y="0"/>
                      <a:ext cx="447675" cy="5715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1"/>
        <w:pBdr>
          <w:top w:space="0" w:sz="0" w:val="nil"/>
          <w:left w:space="0" w:sz="0" w:val="nil"/>
          <w:bottom w:space="0" w:sz="0" w:val="nil"/>
          <w:right w:space="0" w:sz="0" w:val="nil"/>
          <w:between w:space="0" w:sz="0" w:val="nil"/>
        </w:pBdr>
        <w:shd w:fill="auto" w:val="clear"/>
        <w:rPr>
          <w:rFonts w:ascii="Proxima Nova" w:cs="Proxima Nova" w:eastAsia="Proxima Nova" w:hAnsi="Proxima Nova"/>
          <w:color w:val="039be5"/>
          <w:sz w:val="36"/>
          <w:szCs w:val="36"/>
        </w:rPr>
      </w:pPr>
      <w:bookmarkStart w:colFirst="0" w:colLast="0" w:name="_vrhvb96nxxe9" w:id="1"/>
      <w:bookmarkEnd w:id="1"/>
      <w:r w:rsidDel="00000000" w:rsidR="00000000" w:rsidRPr="00000000">
        <w:rPr>
          <w:rtl w:val="0"/>
        </w:rPr>
        <w:t xml:space="preserve">Summary</w:t>
      </w:r>
      <w:r w:rsidDel="00000000" w:rsidR="00000000" w:rsidRPr="00000000">
        <w:rPr>
          <w:rtl w:val="0"/>
        </w:rPr>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hd w:fill="auto" w:val="clear"/>
        <w:spacing w:after="0" w:afterAutospacing="0" w:before="20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Subject(s): Cyberbullying</w:t>
      </w:r>
      <w:r w:rsidDel="00000000" w:rsidR="00000000" w:rsidRPr="00000000">
        <w:rPr>
          <w:rtl w:val="0"/>
        </w:rPr>
        <w:t xml:space="preserve">; Kindness Online; Protected Characteristics.</w:t>
      </w:r>
      <w:r w:rsidDel="00000000" w:rsidR="00000000" w:rsidRPr="00000000">
        <w:rPr>
          <w:rtl w:val="0"/>
        </w:rPr>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Topic or Unit of Study: Rumors and </w:t>
      </w:r>
      <w:r w:rsidDel="00000000" w:rsidR="00000000" w:rsidRPr="00000000">
        <w:rPr>
          <w:rtl w:val="0"/>
        </w:rPr>
        <w:t xml:space="preserve">misinformation spread to harm others</w:t>
      </w:r>
      <w:r w:rsidDel="00000000" w:rsidR="00000000" w:rsidRPr="00000000">
        <w:rPr>
          <w:rtl w:val="0"/>
        </w:rPr>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Grade/Level: 8th</w:t>
      </w:r>
      <w:r w:rsidDel="00000000" w:rsidR="00000000" w:rsidRPr="00000000">
        <w:rPr>
          <w:rtl w:val="0"/>
        </w:rPr>
        <w:t xml:space="preserve"> grade</w:t>
      </w:r>
      <w:r w:rsidDel="00000000" w:rsidR="00000000" w:rsidRPr="00000000">
        <w:rPr>
          <w:rtl w:val="0"/>
        </w:rPr>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720" w:hanging="360"/>
        <w:rPr>
          <w:b w:val="1"/>
        </w:rPr>
      </w:pPr>
      <w:r w:rsidDel="00000000" w:rsidR="00000000" w:rsidRPr="00000000">
        <w:rPr>
          <w:b w:val="1"/>
          <w:rtl w:val="0"/>
        </w:rPr>
        <w:t xml:space="preserve">Learning Objectives:</w:t>
      </w:r>
    </w:p>
    <w:p w:rsidR="00000000" w:rsidDel="00000000" w:rsidP="00000000" w:rsidRDefault="00000000" w:rsidRPr="00000000" w14:paraId="00000008">
      <w:pPr>
        <w:numPr>
          <w:ilvl w:val="1"/>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1440" w:hanging="360"/>
        <w:rPr/>
      </w:pPr>
      <w:r w:rsidDel="00000000" w:rsidR="00000000" w:rsidRPr="00000000">
        <w:rPr>
          <w:rtl w:val="0"/>
        </w:rPr>
        <w:t xml:space="preserve">Students will be able to</w:t>
      </w:r>
    </w:p>
    <w:p w:rsidR="00000000" w:rsidDel="00000000" w:rsidP="00000000" w:rsidRDefault="00000000" w:rsidRPr="00000000" w14:paraId="00000009">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pPr>
      <w:r w:rsidDel="00000000" w:rsidR="00000000" w:rsidRPr="00000000">
        <w:rPr>
          <w:rtl w:val="0"/>
        </w:rPr>
        <w:t xml:space="preserve">Identify some examples of protected characteristics.</w:t>
      </w:r>
    </w:p>
    <w:p w:rsidR="00000000" w:rsidDel="00000000" w:rsidP="00000000" w:rsidRDefault="00000000" w:rsidRPr="00000000" w14:paraId="0000000A">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pPr>
      <w:r w:rsidDel="00000000" w:rsidR="00000000" w:rsidRPr="00000000">
        <w:rPr>
          <w:rtl w:val="0"/>
        </w:rPr>
        <w:t xml:space="preserve">Define “hate speech”.</w:t>
      </w:r>
    </w:p>
    <w:p w:rsidR="00000000" w:rsidDel="00000000" w:rsidP="00000000" w:rsidRDefault="00000000" w:rsidRPr="00000000" w14:paraId="0000000B">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pPr>
      <w:r w:rsidDel="00000000" w:rsidR="00000000" w:rsidRPr="00000000">
        <w:rPr>
          <w:rtl w:val="0"/>
        </w:rPr>
        <w:t xml:space="preserve">Recognize </w:t>
      </w:r>
      <w:r w:rsidDel="00000000" w:rsidR="00000000" w:rsidRPr="00000000">
        <w:rPr>
          <w:rtl w:val="0"/>
        </w:rPr>
        <w:t xml:space="preserve">when</w:t>
      </w:r>
      <w:r w:rsidDel="00000000" w:rsidR="00000000" w:rsidRPr="00000000">
        <w:rPr>
          <w:rtl w:val="0"/>
        </w:rPr>
        <w:t xml:space="preserve"> someone is attacking another person over a protected characteristic.</w:t>
      </w:r>
    </w:p>
    <w:p w:rsidR="00000000" w:rsidDel="00000000" w:rsidP="00000000" w:rsidRDefault="00000000" w:rsidRPr="00000000" w14:paraId="0000000C">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pPr>
      <w:r w:rsidDel="00000000" w:rsidR="00000000" w:rsidRPr="00000000">
        <w:rPr>
          <w:rtl w:val="0"/>
        </w:rPr>
        <w:t xml:space="preserve">Know how to spot misinformation and lying used to hurt others.</w:t>
      </w:r>
    </w:p>
    <w:p w:rsidR="00000000" w:rsidDel="00000000" w:rsidP="00000000" w:rsidRDefault="00000000" w:rsidRPr="00000000" w14:paraId="0000000D">
      <w:pPr>
        <w:numPr>
          <w:ilvl w:val="2"/>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160" w:hanging="360"/>
        <w:rPr/>
      </w:pPr>
      <w:r w:rsidDel="00000000" w:rsidR="00000000" w:rsidRPr="00000000">
        <w:rPr>
          <w:rtl w:val="0"/>
        </w:rPr>
        <w:t xml:space="preserve">How to react to misinformation and disinformation</w:t>
      </w:r>
    </w:p>
    <w:p w:rsidR="00000000" w:rsidDel="00000000" w:rsidP="00000000" w:rsidRDefault="00000000" w:rsidRPr="00000000" w14:paraId="0000000E">
      <w:pPr>
        <w:numPr>
          <w:ilvl w:val="3"/>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880" w:hanging="360"/>
        <w:rPr/>
      </w:pPr>
      <w:r w:rsidDel="00000000" w:rsidR="00000000" w:rsidRPr="00000000">
        <w:rPr>
          <w:rtl w:val="0"/>
        </w:rPr>
        <w:t xml:space="preserve">“Call Out” = </w:t>
      </w:r>
      <w:r w:rsidDel="00000000" w:rsidR="00000000" w:rsidRPr="00000000">
        <w:rPr>
          <w:rtl w:val="0"/>
        </w:rPr>
        <w:t xml:space="preserve">Shaming people that you spot using misinformation on social media. “whoa! That’s misinformation,” “You’re a liar!” </w:t>
      </w:r>
      <w:r w:rsidDel="00000000" w:rsidR="00000000" w:rsidRPr="00000000">
        <w:rPr>
          <w:rtl w:val="0"/>
        </w:rPr>
      </w:r>
    </w:p>
    <w:p w:rsidR="00000000" w:rsidDel="00000000" w:rsidP="00000000" w:rsidRDefault="00000000" w:rsidRPr="00000000" w14:paraId="0000000F">
      <w:pPr>
        <w:numPr>
          <w:ilvl w:val="3"/>
          <w:numId w:val="1"/>
        </w:numPr>
        <w:pBdr>
          <w:top w:space="0" w:sz="0" w:val="nil"/>
          <w:left w:space="0" w:sz="0" w:val="nil"/>
          <w:bottom w:space="0" w:sz="0" w:val="nil"/>
          <w:right w:space="0" w:sz="0" w:val="nil"/>
          <w:between w:space="0" w:sz="0" w:val="nil"/>
        </w:pBdr>
        <w:shd w:fill="auto" w:val="clear"/>
        <w:spacing w:after="0" w:afterAutospacing="0" w:before="0" w:beforeAutospacing="0" w:line="300" w:lineRule="auto"/>
        <w:ind w:left="2880" w:hanging="360"/>
        <w:rPr/>
      </w:pPr>
      <w:r w:rsidDel="00000000" w:rsidR="00000000" w:rsidRPr="00000000">
        <w:rPr>
          <w:rtl w:val="0"/>
        </w:rPr>
        <w:t xml:space="preserve">“Call In” =  Taking the opportunity, when you notice someone spreading misinformation to educate or question the misinformation. “Hey, I wonder if the source that you got your information from is biased or credible. What do you think?” </w:t>
      </w:r>
    </w:p>
    <w:p w:rsidR="00000000" w:rsidDel="00000000" w:rsidP="00000000" w:rsidRDefault="00000000" w:rsidRPr="00000000" w14:paraId="00000010">
      <w:pPr>
        <w:numPr>
          <w:ilvl w:val="4"/>
          <w:numId w:val="1"/>
        </w:numPr>
        <w:spacing w:after="0" w:afterAutospacing="0" w:before="0" w:beforeAutospacing="0"/>
        <w:ind w:left="3600" w:hanging="360"/>
        <w:rPr/>
      </w:pPr>
      <w:r w:rsidDel="00000000" w:rsidR="00000000" w:rsidRPr="00000000">
        <w:rPr>
          <w:rtl w:val="0"/>
        </w:rPr>
        <w:t xml:space="preserve">A big part of ‘calling in’ is thinking about the real world HARM/ implications that the misinformation you see on social media can lead to. Its good to make it a practice to mindfully be aware of how misinformation no matter how entertaining at that moment can lead to real-world harm.</w:t>
      </w:r>
      <w:r w:rsidDel="00000000" w:rsidR="00000000" w:rsidRPr="00000000">
        <w:rPr>
          <w:rtl w:val="0"/>
        </w:rPr>
      </w:r>
    </w:p>
    <w:p w:rsidR="00000000" w:rsidDel="00000000" w:rsidP="00000000" w:rsidRDefault="00000000" w:rsidRPr="00000000" w14:paraId="00000011">
      <w:pPr>
        <w:numPr>
          <w:ilvl w:val="0"/>
          <w:numId w:val="3"/>
        </w:numPr>
        <w:pBdr>
          <w:top w:space="0" w:sz="0" w:val="nil"/>
          <w:left w:space="0" w:sz="0" w:val="nil"/>
          <w:bottom w:space="0" w:sz="0" w:val="nil"/>
          <w:right w:space="0" w:sz="0" w:val="nil"/>
          <w:between w:space="0" w:sz="0" w:val="nil"/>
        </w:pBdr>
        <w:shd w:fill="auto" w:val="clear"/>
        <w:spacing w:before="0" w:beforeAutospacing="0" w:line="300" w:lineRule="auto"/>
        <w:ind w:left="720" w:hanging="360"/>
        <w:rPr>
          <w:rFonts w:ascii="Proxima Nova" w:cs="Proxima Nova" w:eastAsia="Proxima Nova" w:hAnsi="Proxima Nova"/>
        </w:rPr>
      </w:pPr>
      <w:r w:rsidDel="00000000" w:rsidR="00000000" w:rsidRPr="00000000">
        <w:rPr>
          <w:rFonts w:ascii="Proxima Nova" w:cs="Proxima Nova" w:eastAsia="Proxima Nova" w:hAnsi="Proxima Nova"/>
          <w:rtl w:val="0"/>
        </w:rPr>
        <w:t xml:space="preserve">Time Allotment: </w:t>
      </w:r>
      <w:r w:rsidDel="00000000" w:rsidR="00000000" w:rsidRPr="00000000">
        <w:rPr>
          <w:rtl w:val="0"/>
        </w:rPr>
        <w:t xml:space="preserve">30 - 45 minutes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200" w:line="300" w:lineRule="auto"/>
        <w:rPr/>
      </w:pPr>
      <w:r w:rsidDel="00000000" w:rsidR="00000000" w:rsidRPr="00000000">
        <w:rPr>
          <w:rtl w:val="0"/>
        </w:rPr>
        <w:t xml:space="preserve">*</w:t>
      </w:r>
      <w:r w:rsidDel="00000000" w:rsidR="00000000" w:rsidRPr="00000000">
        <w:rPr>
          <w:sz w:val="24"/>
          <w:szCs w:val="24"/>
          <w:rtl w:val="0"/>
        </w:rPr>
        <w:t xml:space="preserve">To create this module, our team used outside resources to build a comprehensive course. You will find footnotes were we obtained information from other sources and can further help guide the course. Additionally, there are citations throughout the notes section of the PowerPoint. </w:t>
      </w:r>
      <w:r w:rsidDel="00000000" w:rsidR="00000000" w:rsidRPr="00000000">
        <w:rPr>
          <w:rtl w:val="0"/>
        </w:rPr>
      </w:r>
    </w:p>
    <w:p w:rsidR="00000000" w:rsidDel="00000000" w:rsidP="00000000" w:rsidRDefault="00000000" w:rsidRPr="00000000" w14:paraId="00000013">
      <w:pPr>
        <w:pStyle w:val="Heading1"/>
        <w:pBdr>
          <w:top w:space="0" w:sz="0" w:val="nil"/>
          <w:left w:space="0" w:sz="0" w:val="nil"/>
          <w:bottom w:space="0" w:sz="0" w:val="nil"/>
          <w:right w:space="0" w:sz="0" w:val="nil"/>
          <w:between w:space="0" w:sz="0" w:val="nil"/>
        </w:pBdr>
        <w:shd w:fill="auto" w:val="clear"/>
        <w:rPr/>
      </w:pPr>
      <w:bookmarkStart w:colFirst="0" w:colLast="0" w:name="_qdb70zvexk2" w:id="2"/>
      <w:bookmarkEnd w:id="2"/>
      <w:r w:rsidDel="00000000" w:rsidR="00000000" w:rsidRPr="00000000">
        <w:rPr>
          <w:rtl w:val="0"/>
        </w:rPr>
        <w:t xml:space="preserve">Implementation</w:t>
      </w:r>
    </w:p>
    <w:p w:rsidR="00000000" w:rsidDel="00000000" w:rsidP="00000000" w:rsidRDefault="00000000" w:rsidRPr="00000000" w14:paraId="00000014">
      <w:pPr>
        <w:pStyle w:val="Heading2"/>
        <w:pBdr>
          <w:top w:space="0" w:sz="0" w:val="nil"/>
          <w:left w:space="0" w:sz="0" w:val="nil"/>
          <w:bottom w:space="0" w:sz="0" w:val="nil"/>
          <w:right w:space="0" w:sz="0" w:val="nil"/>
          <w:between w:space="0" w:sz="0" w:val="nil"/>
        </w:pBdr>
        <w:shd w:fill="auto" w:val="clear"/>
        <w:rPr/>
      </w:pPr>
      <w:bookmarkStart w:colFirst="0" w:colLast="0" w:name="_iwerjkqkfkua" w:id="3"/>
      <w:bookmarkEnd w:id="3"/>
      <w:r w:rsidDel="00000000" w:rsidR="00000000" w:rsidRPr="00000000">
        <w:rPr>
          <w:rtl w:val="0"/>
        </w:rPr>
        <w:t xml:space="preserve">Learning Context</w:t>
      </w:r>
    </w:p>
    <w:p w:rsidR="00000000" w:rsidDel="00000000" w:rsidP="00000000" w:rsidRDefault="00000000" w:rsidRPr="00000000" w14:paraId="00000015">
      <w:pPr>
        <w:numPr>
          <w:ilvl w:val="0"/>
          <w:numId w:val="2"/>
        </w:numPr>
        <w:spacing w:after="0" w:afterAutospacing="0"/>
        <w:ind w:left="720" w:hanging="360"/>
        <w:rPr>
          <w:u w:val="none"/>
        </w:rPr>
      </w:pPr>
      <w:r w:rsidDel="00000000" w:rsidR="00000000" w:rsidRPr="00000000">
        <w:rPr>
          <w:rtl w:val="0"/>
        </w:rPr>
        <w:t xml:space="preserve">Have students been taught anti-cyberbullying lessons before? If so, there may be a fair amount of overlap.</w:t>
      </w:r>
    </w:p>
    <w:p w:rsidR="00000000" w:rsidDel="00000000" w:rsidP="00000000" w:rsidRDefault="00000000" w:rsidRPr="00000000" w14:paraId="00000016">
      <w:pPr>
        <w:numPr>
          <w:ilvl w:val="0"/>
          <w:numId w:val="2"/>
        </w:numPr>
        <w:spacing w:after="0" w:afterAutospacing="0" w:before="0" w:beforeAutospacing="0"/>
        <w:ind w:left="720" w:hanging="360"/>
        <w:rPr>
          <w:u w:val="none"/>
        </w:rPr>
      </w:pPr>
      <w:r w:rsidDel="00000000" w:rsidR="00000000" w:rsidRPr="00000000">
        <w:rPr>
          <w:rtl w:val="0"/>
        </w:rPr>
        <w:t xml:space="preserve">Start off by briefly recapping the previous lessons</w:t>
      </w:r>
    </w:p>
    <w:p w:rsidR="00000000" w:rsidDel="00000000" w:rsidP="00000000" w:rsidRDefault="00000000" w:rsidRPr="00000000" w14:paraId="00000017">
      <w:pPr>
        <w:numPr>
          <w:ilvl w:val="0"/>
          <w:numId w:val="2"/>
        </w:numPr>
        <w:spacing w:after="0" w:afterAutospacing="0" w:before="0" w:beforeAutospacing="0"/>
        <w:ind w:left="720" w:hanging="360"/>
        <w:rPr>
          <w:u w:val="none"/>
        </w:rPr>
      </w:pPr>
      <w:r w:rsidDel="00000000" w:rsidR="00000000" w:rsidRPr="00000000">
        <w:rPr>
          <w:rtl w:val="0"/>
        </w:rPr>
        <w:t xml:space="preserve">Define Hate Speech</w:t>
      </w:r>
    </w:p>
    <w:p w:rsidR="00000000" w:rsidDel="00000000" w:rsidP="00000000" w:rsidRDefault="00000000" w:rsidRPr="00000000" w14:paraId="00000018">
      <w:pPr>
        <w:numPr>
          <w:ilvl w:val="1"/>
          <w:numId w:val="2"/>
        </w:numPr>
        <w:spacing w:after="0" w:afterAutospacing="0" w:before="0" w:beforeAutospacing="0"/>
        <w:ind w:left="1440" w:hanging="360"/>
        <w:rPr>
          <w:u w:val="none"/>
        </w:rPr>
      </w:pPr>
      <w:r w:rsidDel="00000000" w:rsidR="00000000" w:rsidRPr="00000000">
        <w:rPr>
          <w:rtl w:val="0"/>
        </w:rPr>
        <w:t xml:space="preserve">Introduce protected characteristic - “any characteristic of a person which cannot legally be used to discriminate against them”</w:t>
      </w:r>
    </w:p>
    <w:p w:rsidR="00000000" w:rsidDel="00000000" w:rsidP="00000000" w:rsidRDefault="00000000" w:rsidRPr="00000000" w14:paraId="00000019">
      <w:pPr>
        <w:numPr>
          <w:ilvl w:val="2"/>
          <w:numId w:val="2"/>
        </w:numPr>
        <w:spacing w:after="0" w:afterAutospacing="0" w:before="0" w:beforeAutospacing="0"/>
        <w:ind w:left="2160" w:hanging="360"/>
        <w:rPr>
          <w:u w:val="none"/>
        </w:rPr>
      </w:pPr>
      <w:r w:rsidDel="00000000" w:rsidR="00000000" w:rsidRPr="00000000">
        <w:rPr>
          <w:vertAlign w:val="superscript"/>
        </w:rPr>
        <w:footnoteReference w:customMarkFollows="0" w:id="0"/>
      </w:r>
      <w:r w:rsidDel="00000000" w:rsidR="00000000" w:rsidRPr="00000000">
        <w:rPr>
          <w:rtl w:val="0"/>
        </w:rPr>
        <w:t xml:space="preserve">Race, sex, ability, religion, age, and gender</w:t>
      </w:r>
    </w:p>
    <w:p w:rsidR="00000000" w:rsidDel="00000000" w:rsidP="00000000" w:rsidRDefault="00000000" w:rsidRPr="00000000" w14:paraId="0000001A">
      <w:pPr>
        <w:numPr>
          <w:ilvl w:val="1"/>
          <w:numId w:val="2"/>
        </w:numPr>
        <w:spacing w:after="0" w:afterAutospacing="0" w:before="0" w:beforeAutospacing="0"/>
        <w:ind w:left="1440" w:hanging="360"/>
        <w:rPr>
          <w:u w:val="none"/>
        </w:rPr>
      </w:pPr>
      <w:r w:rsidDel="00000000" w:rsidR="00000000" w:rsidRPr="00000000">
        <w:rPr>
          <w:rtl w:val="0"/>
        </w:rPr>
        <w:t xml:space="preserve">Define hate speech - “speech expressing hatred of a particular group of people”</w:t>
      </w:r>
    </w:p>
    <w:p w:rsidR="00000000" w:rsidDel="00000000" w:rsidP="00000000" w:rsidRDefault="00000000" w:rsidRPr="00000000" w14:paraId="0000001B">
      <w:pPr>
        <w:numPr>
          <w:ilvl w:val="0"/>
          <w:numId w:val="2"/>
        </w:numPr>
        <w:spacing w:after="0" w:afterAutospacing="0" w:before="0" w:beforeAutospacing="0"/>
        <w:ind w:left="720" w:hanging="360"/>
        <w:rPr>
          <w:u w:val="none"/>
        </w:rPr>
      </w:pPr>
      <w:r w:rsidDel="00000000" w:rsidR="00000000" w:rsidRPr="00000000">
        <w:rPr>
          <w:rtl w:val="0"/>
        </w:rPr>
        <w:t xml:space="preserve">Kindness</w:t>
      </w:r>
    </w:p>
    <w:p w:rsidR="00000000" w:rsidDel="00000000" w:rsidP="00000000" w:rsidRDefault="00000000" w:rsidRPr="00000000" w14:paraId="0000001C">
      <w:pPr>
        <w:numPr>
          <w:ilvl w:val="1"/>
          <w:numId w:val="2"/>
        </w:numPr>
        <w:spacing w:after="0" w:afterAutospacing="0" w:before="0" w:beforeAutospacing="0"/>
        <w:ind w:left="1440" w:hanging="360"/>
        <w:rPr>
          <w:u w:val="none"/>
        </w:rPr>
      </w:pPr>
      <w:r w:rsidDel="00000000" w:rsidR="00000000" w:rsidRPr="00000000">
        <w:rPr>
          <w:rtl w:val="0"/>
        </w:rPr>
        <w:t xml:space="preserve">Convey the importance of kindness</w:t>
      </w:r>
    </w:p>
    <w:p w:rsidR="00000000" w:rsidDel="00000000" w:rsidP="00000000" w:rsidRDefault="00000000" w:rsidRPr="00000000" w14:paraId="0000001D">
      <w:pPr>
        <w:numPr>
          <w:ilvl w:val="0"/>
          <w:numId w:val="2"/>
        </w:numPr>
        <w:spacing w:before="0" w:beforeAutospacing="0"/>
        <w:ind w:left="720" w:hanging="360"/>
        <w:rPr>
          <w:u w:val="none"/>
        </w:rPr>
      </w:pPr>
      <w:r w:rsidDel="00000000" w:rsidR="00000000" w:rsidRPr="00000000">
        <w:rPr>
          <w:rtl w:val="0"/>
        </w:rPr>
        <w:t xml:space="preserve">Phishing - falsifying one’s identity in order to steal somebody’s information. It is often associated with email scams.</w:t>
      </w:r>
      <w:r w:rsidDel="00000000" w:rsidR="00000000" w:rsidRPr="00000000">
        <w:rPr>
          <w:rtl w:val="0"/>
        </w:rPr>
      </w:r>
    </w:p>
    <w:p w:rsidR="00000000" w:rsidDel="00000000" w:rsidP="00000000" w:rsidRDefault="00000000" w:rsidRPr="00000000" w14:paraId="0000001E">
      <w:pPr>
        <w:pStyle w:val="Heading2"/>
        <w:pBdr>
          <w:top w:space="0" w:sz="0" w:val="nil"/>
          <w:left w:space="0" w:sz="0" w:val="nil"/>
          <w:bottom w:space="0" w:sz="0" w:val="nil"/>
          <w:right w:space="0" w:sz="0" w:val="nil"/>
          <w:between w:space="0" w:sz="0" w:val="nil"/>
        </w:pBdr>
        <w:shd w:fill="auto" w:val="clear"/>
        <w:spacing w:line="300" w:lineRule="auto"/>
        <w:rPr/>
      </w:pPr>
      <w:bookmarkStart w:colFirst="0" w:colLast="0" w:name="_lpv6ciisjqp3" w:id="4"/>
      <w:bookmarkEnd w:id="4"/>
      <w:r w:rsidDel="00000000" w:rsidR="00000000" w:rsidRPr="00000000">
        <w:rPr>
          <w:rFonts w:ascii="Proxima Nova" w:cs="Proxima Nova" w:eastAsia="Proxima Nova" w:hAnsi="Proxima Nova"/>
          <w:b w:val="0"/>
          <w:sz w:val="28"/>
          <w:szCs w:val="28"/>
          <w:rtl w:val="0"/>
        </w:rPr>
        <w:t xml:space="preserve">Procedure</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before="200" w:line="300" w:lineRule="auto"/>
        <w:ind w:left="0" w:firstLine="0"/>
        <w:rPr>
          <w:rFonts w:ascii="Proxima Nova" w:cs="Proxima Nova" w:eastAsia="Proxima Nova" w:hAnsi="Proxima Nova"/>
        </w:rPr>
      </w:pPr>
      <w:r w:rsidDel="00000000" w:rsidR="00000000" w:rsidRPr="00000000">
        <w:rPr>
          <w:rtl w:val="0"/>
        </w:rPr>
        <w:t xml:space="preserve">The Google Slides presentation linked in this module is shorter than the presentations in other modules. A lot of the information is likely to be repetitive for middle schoolers who have been taught about cyberbullying.</w:t>
      </w: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before="480" w:line="300" w:lineRule="auto"/>
        <w:rPr>
          <w:color w:val="666666"/>
        </w:rPr>
      </w:pPr>
      <w:r w:rsidDel="00000000" w:rsidR="00000000" w:rsidRPr="00000000">
        <w:rPr>
          <w:rFonts w:ascii="Proxima Nova" w:cs="Proxima Nova" w:eastAsia="Proxima Nova" w:hAnsi="Proxima Nova"/>
          <w:color w:val="666666"/>
        </w:rPr>
        <w:drawing>
          <wp:inline distB="114300" distT="114300" distL="114300" distR="114300">
            <wp:extent cx="438150" cy="57150"/>
            <wp:effectExtent b="0" l="0" r="0" t="0"/>
            <wp:docPr descr="short dash" id="5" name="image1.png"/>
            <a:graphic>
              <a:graphicData uri="http://schemas.openxmlformats.org/drawingml/2006/picture">
                <pic:pic>
                  <pic:nvPicPr>
                    <pic:cNvPr descr="short dash" id="0" name="image1.png"/>
                    <pic:cNvPicPr preferRelativeResize="0"/>
                  </pic:nvPicPr>
                  <pic:blipFill>
                    <a:blip r:embed="rId8"/>
                    <a:srcRect b="0" l="0" r="0" t="0"/>
                    <a:stretch>
                      <a:fillRect/>
                    </a:stretch>
                  </pic:blipFill>
                  <pic:spPr>
                    <a:xfrm>
                      <a:off x="0" y="0"/>
                      <a:ext cx="438150" cy="57150"/>
                    </a:xfrm>
                    <a:prstGeom prst="rect"/>
                    <a:ln/>
                  </pic:spPr>
                </pic:pic>
              </a:graphicData>
            </a:graphic>
          </wp:inline>
        </w:drawing>
      </w:r>
      <w:r w:rsidDel="00000000" w:rsidR="00000000" w:rsidRPr="00000000">
        <w:rPr>
          <w:rtl w:val="0"/>
        </w:rPr>
      </w:r>
    </w:p>
    <w:sectPr>
      <w:headerReference r:id="rId9" w:type="default"/>
      <w:headerReference r:id="rId10" w:type="first"/>
      <w:footerReference r:id="rId11" w:type="default"/>
      <w:footerReference r:id="rId12" w:type="firs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4" name="image2.png"/>
          <a:graphic>
            <a:graphicData uri="http://schemas.openxmlformats.org/drawingml/2006/picture">
              <pic:pic>
                <pic:nvPicPr>
                  <pic:cNvPr descr="footer"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438150</wp:posOffset>
          </wp:positionV>
          <wp:extent cx="7781925" cy="409575"/>
          <wp:effectExtent b="0" l="0" r="0" t="0"/>
          <wp:wrapTopAndBottom distB="0" distT="0"/>
          <wp:docPr descr="footer" id="3" name="image2.png"/>
          <a:graphic>
            <a:graphicData uri="http://schemas.openxmlformats.org/drawingml/2006/picture">
              <pic:pic>
                <pic:nvPicPr>
                  <pic:cNvPr descr="footer" id="0" name="image2.png"/>
                  <pic:cNvPicPr preferRelativeResize="0"/>
                </pic:nvPicPr>
                <pic:blipFill>
                  <a:blip r:embed="rId1"/>
                  <a:srcRect b="0" l="0" r="0" t="0"/>
                  <a:stretch>
                    <a:fillRect/>
                  </a:stretch>
                </pic:blipFill>
                <pic:spPr>
                  <a:xfrm>
                    <a:off x="0" y="0"/>
                    <a:ext cx="7781925" cy="409575"/>
                  </a:xfrm>
                  <a:prstGeom prst="rect"/>
                  <a:ln/>
                </pic:spPr>
              </pic:pic>
            </a:graphicData>
          </a:graphic>
        </wp:anchor>
      </w:drawing>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26">
      <w:pPr>
        <w:spacing w:before="0"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Protected characteristics: </w:t>
      </w:r>
      <w:hyperlink r:id="rId1">
        <w:r w:rsidDel="00000000" w:rsidR="00000000" w:rsidRPr="00000000">
          <w:rPr>
            <w:color w:val="1155cc"/>
            <w:sz w:val="20"/>
            <w:szCs w:val="20"/>
            <w:u w:val="single"/>
            <w:rtl w:val="0"/>
          </w:rPr>
          <w:t xml:space="preserve">https://www.subscriptlaw.com/blog/protected-classes</w:t>
        </w:r>
      </w:hyperlink>
      <w:r w:rsidDel="00000000" w:rsidR="00000000" w:rsidRPr="00000000">
        <w:rPr>
          <w:rtl w:val="0"/>
        </w:rPr>
      </w:r>
    </w:p>
    <w:p w:rsidR="00000000" w:rsidDel="00000000" w:rsidP="00000000" w:rsidRDefault="00000000" w:rsidRPr="00000000" w14:paraId="00000027">
      <w:pPr>
        <w:spacing w:before="0" w:line="240" w:lineRule="auto"/>
        <w:rPr>
          <w:sz w:val="20"/>
          <w:szCs w:val="20"/>
        </w:rPr>
      </w:pP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before="64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-914399</wp:posOffset>
          </wp:positionH>
          <wp:positionV relativeFrom="paragraph">
            <wp:posOffset>-66674</wp:posOffset>
          </wp:positionV>
          <wp:extent cx="7781925" cy="95250"/>
          <wp:effectExtent b="0" l="0" r="0" t="0"/>
          <wp:wrapTopAndBottom distB="0" distT="0"/>
          <wp:docPr descr="horizontal line" id="7"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95250"/>
                  </a:xfrm>
                  <a:prstGeom prst="rect"/>
                  <a:ln/>
                </pic:spPr>
              </pic:pic>
            </a:graphicData>
          </a:graphic>
        </wp:anchor>
      </w:drawing>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pPr>
    <w:r w:rsidDel="00000000" w:rsidR="00000000" w:rsidRPr="00000000">
      <w:rPr>
        <w:color w:val="666666"/>
        <w:sz w:val="20"/>
        <w:szCs w:val="20"/>
      </w:rPr>
      <w:drawing>
        <wp:inline distB="114300" distT="114300" distL="114300" distR="114300">
          <wp:extent cx="447675" cy="57150"/>
          <wp:effectExtent b="0" l="0" r="0" t="0"/>
          <wp:docPr descr="short line" id="1" name="image3.png"/>
          <a:graphic>
            <a:graphicData uri="http://schemas.openxmlformats.org/drawingml/2006/picture">
              <pic:pic>
                <pic:nvPicPr>
                  <pic:cNvPr descr="short line" id="0" name="image3.png"/>
                  <pic:cNvPicPr preferRelativeResize="0"/>
                </pic:nvPicPr>
                <pic:blipFill>
                  <a:blip r:embed="rId2"/>
                  <a:srcRect b="0" l="0" r="0" t="0"/>
                  <a:stretch>
                    <a:fillRect/>
                  </a:stretch>
                </pic:blipFill>
                <pic:spPr>
                  <a:xfrm>
                    <a:off x="0" y="0"/>
                    <a:ext cx="447675" cy="571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before="640" w:line="300"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-919162</wp:posOffset>
          </wp:positionH>
          <wp:positionV relativeFrom="paragraph">
            <wp:posOffset>-66674</wp:posOffset>
          </wp:positionV>
          <wp:extent cx="7781925" cy="95250"/>
          <wp:effectExtent b="0" l="0" r="0" t="0"/>
          <wp:wrapTopAndBottom distB="0" distT="0"/>
          <wp:docPr descr="horizontal line" id="2" name="image2.png"/>
          <a:graphic>
            <a:graphicData uri="http://schemas.openxmlformats.org/drawingml/2006/picture">
              <pic:pic>
                <pic:nvPicPr>
                  <pic:cNvPr descr="horizontal line" id="0" name="image2.png"/>
                  <pic:cNvPicPr preferRelativeResize="0"/>
                </pic:nvPicPr>
                <pic:blipFill>
                  <a:blip r:embed="rId1"/>
                  <a:srcRect b="0" l="0" r="0" t="0"/>
                  <a:stretch>
                    <a:fillRect/>
                  </a:stretch>
                </pic:blipFill>
                <pic:spPr>
                  <a:xfrm>
                    <a:off x="0" y="0"/>
                    <a:ext cx="7781925" cy="9525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sz w:val="22"/>
        <w:szCs w:val="22"/>
        <w:lang w:val="en"/>
      </w:rPr>
    </w:rPrDefault>
    <w:pPrDefault>
      <w:pPr>
        <w:spacing w:before="200" w:line="3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300" w:lineRule="auto"/>
    </w:pPr>
    <w:rPr>
      <w:rFonts w:ascii="Proxima Nova" w:cs="Proxima Nova" w:eastAsia="Proxima Nova" w:hAnsi="Proxima Nova"/>
      <w:color w:val="039be5"/>
      <w:sz w:val="36"/>
      <w:szCs w:val="36"/>
    </w:rPr>
  </w:style>
  <w:style w:type="paragraph" w:styleId="Heading2">
    <w:name w:val="heading 2"/>
    <w:basedOn w:val="Normal"/>
    <w:next w:val="Normal"/>
    <w:pPr>
      <w:keepNext w:val="1"/>
      <w:keepLines w:val="1"/>
      <w:spacing w:before="200" w:line="300" w:lineRule="auto"/>
    </w:pPr>
    <w:rPr>
      <w:rFonts w:ascii="Proxima Nova" w:cs="Proxima Nova" w:eastAsia="Proxima Nova" w:hAnsi="Proxima Nova"/>
      <w:sz w:val="28"/>
      <w:szCs w:val="28"/>
    </w:rPr>
  </w:style>
  <w:style w:type="paragraph" w:styleId="Heading3">
    <w:name w:val="heading 3"/>
    <w:basedOn w:val="Normal"/>
    <w:next w:val="Normal"/>
    <w:pPr>
      <w:keepNext w:val="1"/>
      <w:keepLines w:val="1"/>
    </w:pPr>
    <w:rPr>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line="240" w:lineRule="auto"/>
    </w:pPr>
    <w:rPr>
      <w:rFonts w:ascii="Proxima Nova" w:cs="Proxima Nova" w:eastAsia="Proxima Nova" w:hAnsi="Proxima Nova"/>
      <w:b w:val="1"/>
      <w:color w:val="404040"/>
      <w:sz w:val="60"/>
      <w:szCs w:val="60"/>
    </w:rPr>
  </w:style>
  <w:style w:type="paragraph" w:styleId="Subtitle">
    <w:name w:val="Subtitle"/>
    <w:basedOn w:val="Normal"/>
    <w:next w:val="Normal"/>
    <w:pPr>
      <w:keepNext w:val="1"/>
      <w:keepLines w:val="1"/>
      <w:spacing w:before="120" w:lineRule="auto"/>
    </w:pPr>
    <w:rPr>
      <w:color w:val="404040"/>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1" Type="http://schemas.openxmlformats.org/officeDocument/2006/relationships/footer" Target="footer2.xml"/><Relationship Id="rId10" Type="http://schemas.openxmlformats.org/officeDocument/2006/relationships/header" Target="header2.xml"/><Relationship Id="rId12"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subscriptlaw.com/blog/protected-class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